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392C" w:rsidRPr="00CF392C" w:rsidRDefault="00CF392C" w:rsidP="001B3AEC">
      <w:pPr>
        <w:spacing w:after="0" w:line="240" w:lineRule="auto"/>
        <w:jc w:val="center"/>
        <w:rPr>
          <w:rFonts w:ascii="Times New Roman" w:eastAsia="Times New Roman" w:hAnsi="Times New Roman" w:cs="David"/>
          <w:b/>
          <w:bCs/>
          <w:sz w:val="26"/>
          <w:szCs w:val="26"/>
          <w:u w:val="single"/>
          <w:lang w:bidi="he-IL"/>
        </w:rPr>
      </w:pPr>
      <w:r w:rsidRPr="00CF392C">
        <w:rPr>
          <w:rFonts w:ascii="Times New Roman" w:eastAsia="Times New Roman" w:hAnsi="Times New Roman" w:cs="David"/>
          <w:b/>
          <w:bCs/>
          <w:sz w:val="26"/>
          <w:szCs w:val="26"/>
          <w:u w:val="single"/>
          <w:lang w:bidi="he-IL"/>
        </w:rPr>
        <w:t>Questions and answers Tender No. 41/12 to consulting and engineering specifications approval engineering and services more available to natural gas</w:t>
      </w:r>
    </w:p>
    <w:p w:rsidR="00CF392C" w:rsidRDefault="00CF392C" w:rsidP="001B3AEC"/>
    <w:p w:rsidR="00CF392C" w:rsidRDefault="00247AEC" w:rsidP="000C7E76">
      <w:pPr>
        <w:pStyle w:val="a8"/>
        <w:numPr>
          <w:ilvl w:val="0"/>
          <w:numId w:val="5"/>
        </w:numPr>
      </w:pPr>
      <w:r>
        <w:t>The following</w:t>
      </w:r>
      <w:r w:rsidR="00CF392C">
        <w:t xml:space="preserve"> are answers to</w:t>
      </w:r>
      <w:r>
        <w:t xml:space="preserve"> questions raised during the</w:t>
      </w:r>
      <w:r w:rsidR="00CF392C">
        <w:t xml:space="preserve"> bidders' conference</w:t>
      </w:r>
      <w:r>
        <w:t xml:space="preserve"> which was</w:t>
      </w:r>
      <w:r w:rsidR="00CF392C">
        <w:t xml:space="preserve"> held on 08/11/2012, 14:00, </w:t>
      </w:r>
      <w:r>
        <w:t>Head</w:t>
      </w:r>
      <w:r w:rsidR="00CF392C">
        <w:t xml:space="preserve"> Office Conference Room, 216 Jaffa</w:t>
      </w:r>
      <w:r w:rsidR="000C7E76">
        <w:t xml:space="preserve"> Rd.</w:t>
      </w:r>
      <w:r w:rsidR="00CF392C">
        <w:t>, Jerusalem.</w:t>
      </w:r>
    </w:p>
    <w:p w:rsidR="00CF392C" w:rsidRDefault="00CF392C" w:rsidP="00EE35E6">
      <w:pPr>
        <w:pStyle w:val="a8"/>
        <w:numPr>
          <w:ilvl w:val="0"/>
          <w:numId w:val="5"/>
        </w:numPr>
      </w:pPr>
      <w:r>
        <w:t xml:space="preserve">Participation in the conference </w:t>
      </w:r>
      <w:r w:rsidR="00EE35E6">
        <w:t>is</w:t>
      </w:r>
      <w:r>
        <w:t xml:space="preserve"> not mandatory.</w:t>
      </w:r>
    </w:p>
    <w:p w:rsidR="00CF392C" w:rsidRDefault="00CF392C" w:rsidP="000C7E76">
      <w:pPr>
        <w:pStyle w:val="a8"/>
        <w:numPr>
          <w:ilvl w:val="0"/>
          <w:numId w:val="5"/>
        </w:numPr>
      </w:pPr>
      <w:r>
        <w:t xml:space="preserve">The following answers are an integral part of the tender documents. </w:t>
      </w:r>
      <w:r w:rsidR="00247AEC">
        <w:t>In case of</w:t>
      </w:r>
      <w:r>
        <w:t xml:space="preserve"> conflict between the provisions of the tender documents and </w:t>
      </w:r>
      <w:r w:rsidR="00247AEC">
        <w:t>this document, this document shall prevail.</w:t>
      </w:r>
    </w:p>
    <w:p w:rsidR="00CF392C" w:rsidRDefault="00247AEC" w:rsidP="001B3AEC">
      <w:pPr>
        <w:pStyle w:val="a8"/>
        <w:numPr>
          <w:ilvl w:val="0"/>
          <w:numId w:val="5"/>
        </w:numPr>
      </w:pPr>
      <w:r>
        <w:t xml:space="preserve">During the conference participants were told that an appraisal exists for the aforementioned tender - </w:t>
      </w:r>
      <w:r w:rsidRPr="000C7E76">
        <w:rPr>
          <w:u w:val="single"/>
        </w:rPr>
        <w:t>this is a mistake</w:t>
      </w:r>
      <w:r>
        <w:t xml:space="preserve"> – there is a budgetary estimate only.</w:t>
      </w:r>
    </w:p>
    <w:tbl>
      <w:tblPr>
        <w:tblStyle w:val="a7"/>
        <w:tblW w:w="0" w:type="auto"/>
        <w:tblLook w:val="04A0"/>
      </w:tblPr>
      <w:tblGrid>
        <w:gridCol w:w="346"/>
        <w:gridCol w:w="3378"/>
        <w:gridCol w:w="5852"/>
      </w:tblGrid>
      <w:tr w:rsidR="00B2483C" w:rsidTr="00E929E8">
        <w:trPr>
          <w:cantSplit/>
          <w:tblHeader/>
        </w:trPr>
        <w:tc>
          <w:tcPr>
            <w:tcW w:w="0" w:type="auto"/>
          </w:tcPr>
          <w:p w:rsidR="00CF392C" w:rsidRPr="001B3AEC" w:rsidRDefault="006B04A1" w:rsidP="001B3AEC">
            <w:pPr>
              <w:rPr>
                <w:rFonts w:ascii="Times New Roman" w:eastAsia="Times New Roman" w:hAnsi="Times New Roman" w:cs="David"/>
                <w:b/>
                <w:bCs/>
                <w:sz w:val="26"/>
                <w:szCs w:val="26"/>
                <w:lang w:bidi="he-IL"/>
              </w:rPr>
            </w:pPr>
            <w:r w:rsidRPr="001B3AEC">
              <w:rPr>
                <w:rFonts w:ascii="Times New Roman" w:eastAsia="Times New Roman" w:hAnsi="Times New Roman" w:cs="David"/>
                <w:b/>
                <w:bCs/>
                <w:sz w:val="26"/>
                <w:szCs w:val="26"/>
                <w:lang w:bidi="he-IL"/>
              </w:rPr>
              <w:t>#</w:t>
            </w:r>
          </w:p>
        </w:tc>
        <w:tc>
          <w:tcPr>
            <w:tcW w:w="0" w:type="auto"/>
          </w:tcPr>
          <w:p w:rsidR="00CF392C" w:rsidRPr="001B3AEC" w:rsidRDefault="006B04A1" w:rsidP="001B3AEC">
            <w:pPr>
              <w:ind w:left="360"/>
              <w:jc w:val="center"/>
              <w:rPr>
                <w:rFonts w:ascii="Times New Roman" w:eastAsia="Times New Roman" w:hAnsi="Times New Roman" w:cs="David"/>
                <w:b/>
                <w:bCs/>
                <w:sz w:val="26"/>
                <w:szCs w:val="26"/>
                <w:lang w:bidi="he-IL"/>
              </w:rPr>
            </w:pPr>
            <w:r w:rsidRPr="001B3AEC">
              <w:rPr>
                <w:rFonts w:ascii="Times New Roman" w:eastAsia="Times New Roman" w:hAnsi="Times New Roman" w:cs="David"/>
                <w:b/>
                <w:bCs/>
                <w:sz w:val="26"/>
                <w:szCs w:val="26"/>
                <w:lang w:bidi="he-IL"/>
              </w:rPr>
              <w:t>Question</w:t>
            </w:r>
          </w:p>
        </w:tc>
        <w:tc>
          <w:tcPr>
            <w:tcW w:w="0" w:type="auto"/>
          </w:tcPr>
          <w:p w:rsidR="00CF392C" w:rsidRPr="001B3AEC" w:rsidRDefault="006B04A1" w:rsidP="001B3AEC">
            <w:pPr>
              <w:ind w:left="360"/>
              <w:jc w:val="center"/>
              <w:rPr>
                <w:rFonts w:ascii="Times New Roman" w:eastAsia="Times New Roman" w:hAnsi="Times New Roman" w:cs="David"/>
                <w:b/>
                <w:bCs/>
                <w:sz w:val="26"/>
                <w:szCs w:val="26"/>
                <w:lang w:bidi="he-IL"/>
              </w:rPr>
            </w:pPr>
            <w:r w:rsidRPr="001B3AEC">
              <w:rPr>
                <w:rFonts w:ascii="Times New Roman" w:eastAsia="Times New Roman" w:hAnsi="Times New Roman" w:cs="David"/>
                <w:b/>
                <w:bCs/>
                <w:sz w:val="26"/>
                <w:szCs w:val="26"/>
                <w:lang w:bidi="he-IL"/>
              </w:rPr>
              <w:t>Answer</w:t>
            </w:r>
          </w:p>
        </w:tc>
      </w:tr>
      <w:tr w:rsidR="00AD3399" w:rsidTr="00E929E8">
        <w:trPr>
          <w:cantSplit/>
        </w:trPr>
        <w:tc>
          <w:tcPr>
            <w:tcW w:w="0" w:type="auto"/>
          </w:tcPr>
          <w:p w:rsidR="00CF392C" w:rsidRDefault="00CF392C" w:rsidP="001B3AEC">
            <w:pPr>
              <w:pStyle w:val="a8"/>
              <w:numPr>
                <w:ilvl w:val="0"/>
                <w:numId w:val="3"/>
              </w:numPr>
              <w:jc w:val="center"/>
            </w:pPr>
          </w:p>
        </w:tc>
        <w:tc>
          <w:tcPr>
            <w:tcW w:w="0" w:type="auto"/>
          </w:tcPr>
          <w:p w:rsidR="00CF392C" w:rsidRDefault="001B3AEC" w:rsidP="001B3AEC">
            <w:r>
              <w:t>Is it possible to split the services required in the tender, such that the review of Engineering Designs and Specifications will be carried out by a particular company and the consulting services will be provided by another company?</w:t>
            </w:r>
          </w:p>
        </w:tc>
        <w:tc>
          <w:tcPr>
            <w:tcW w:w="0" w:type="auto"/>
          </w:tcPr>
          <w:p w:rsidR="001B3AEC" w:rsidRDefault="001B3AEC" w:rsidP="00EE35E6">
            <w:r>
              <w:t>The Natural Gas Authority (the Authority) would prefer to receive the full range of services from one bidder who shall b</w:t>
            </w:r>
            <w:r w:rsidR="00EE35E6">
              <w:t>e</w:t>
            </w:r>
            <w:r>
              <w:t xml:space="preserve"> selected via this tender.</w:t>
            </w:r>
          </w:p>
          <w:p w:rsidR="00CF392C" w:rsidRDefault="00EE35E6" w:rsidP="001B3AEC">
            <w:r>
              <w:t>Nevertheless</w:t>
            </w:r>
            <w:r w:rsidR="001B3AEC">
              <w:t xml:space="preserve">, the Authority reserves the right, at its discretion, to examine other options, including the division of services included in the tender among </w:t>
            </w:r>
            <w:r w:rsidR="00714408">
              <w:t>more than one company</w:t>
            </w:r>
            <w:r w:rsidR="001B3AEC">
              <w:t>.</w:t>
            </w:r>
          </w:p>
        </w:tc>
      </w:tr>
      <w:tr w:rsidR="00AD3399" w:rsidTr="00E929E8">
        <w:trPr>
          <w:cantSplit/>
        </w:trPr>
        <w:tc>
          <w:tcPr>
            <w:tcW w:w="0" w:type="auto"/>
          </w:tcPr>
          <w:p w:rsidR="00CF392C" w:rsidRDefault="00CF392C" w:rsidP="001B3AEC">
            <w:pPr>
              <w:pStyle w:val="a8"/>
              <w:numPr>
                <w:ilvl w:val="0"/>
                <w:numId w:val="3"/>
              </w:numPr>
              <w:jc w:val="center"/>
            </w:pPr>
          </w:p>
        </w:tc>
        <w:tc>
          <w:tcPr>
            <w:tcW w:w="0" w:type="auto"/>
          </w:tcPr>
          <w:p w:rsidR="00CF392C" w:rsidRDefault="00AD3399" w:rsidP="00B2483C">
            <w:r>
              <w:t xml:space="preserve">What is the role of a lead </w:t>
            </w:r>
            <w:r w:rsidR="001B3AEC">
              <w:t>expert, why</w:t>
            </w:r>
            <w:r w:rsidR="00B2483C">
              <w:t xml:space="preserve"> is</w:t>
            </w:r>
            <w:r w:rsidR="001B3AEC">
              <w:t xml:space="preserve"> </w:t>
            </w:r>
            <w:r w:rsidR="00B2483C">
              <w:t>there</w:t>
            </w:r>
            <w:r w:rsidR="001B3AEC">
              <w:t xml:space="preserve"> a requirement </w:t>
            </w:r>
            <w:r w:rsidR="00B2483C">
              <w:t>for</w:t>
            </w:r>
            <w:r w:rsidR="001B3AEC">
              <w:t xml:space="preserve"> regular monthly visits to Israel?</w:t>
            </w:r>
          </w:p>
        </w:tc>
        <w:tc>
          <w:tcPr>
            <w:tcW w:w="0" w:type="auto"/>
          </w:tcPr>
          <w:p w:rsidR="001B3AEC" w:rsidRDefault="00B2483C" w:rsidP="00B2483C">
            <w:r>
              <w:t>The w</w:t>
            </w:r>
            <w:r w:rsidR="001B3AEC">
              <w:t xml:space="preserve">ork required </w:t>
            </w:r>
            <w:r>
              <w:t>of</w:t>
            </w:r>
            <w:r w:rsidR="001B3AEC">
              <w:t xml:space="preserve"> the</w:t>
            </w:r>
            <w:r w:rsidR="00AD3399">
              <w:t xml:space="preserve"> lead</w:t>
            </w:r>
            <w:r w:rsidR="001B3AEC">
              <w:t xml:space="preserve"> expert requires him to </w:t>
            </w:r>
            <w:r>
              <w:t>visit</w:t>
            </w:r>
            <w:r w:rsidR="001B3AEC">
              <w:t xml:space="preserve"> the </w:t>
            </w:r>
            <w:r>
              <w:t>project</w:t>
            </w:r>
            <w:r w:rsidR="001B3AEC">
              <w:t xml:space="preserve"> </w:t>
            </w:r>
            <w:r>
              <w:t>site</w:t>
            </w:r>
            <w:r w:rsidR="001B3AEC">
              <w:t xml:space="preserve"> </w:t>
            </w:r>
            <w:r>
              <w:t>prior to the receipt of Engineering Designs in order to familiarize himself with the project in question.</w:t>
            </w:r>
          </w:p>
          <w:p w:rsidR="001B3AEC" w:rsidRDefault="001B3AEC" w:rsidP="00B2483C">
            <w:r>
              <w:t xml:space="preserve">Once developers submit the </w:t>
            </w:r>
            <w:r w:rsidR="00B2483C">
              <w:t>Engineering Design</w:t>
            </w:r>
            <w:r>
              <w:t xml:space="preserve"> of the project</w:t>
            </w:r>
            <w:r w:rsidR="00B2483C">
              <w:t xml:space="preserve"> it</w:t>
            </w:r>
            <w:r>
              <w:t xml:space="preserve"> is</w:t>
            </w:r>
            <w:r w:rsidR="00B2483C">
              <w:t xml:space="preserve"> required</w:t>
            </w:r>
            <w:r>
              <w:t xml:space="preserve"> to clarify the information and to clarify </w:t>
            </w:r>
            <w:r w:rsidR="00B2483C">
              <w:t xml:space="preserve">technical details in parallel with conducting </w:t>
            </w:r>
            <w:r>
              <w:t>meetings</w:t>
            </w:r>
            <w:r w:rsidR="00B2483C">
              <w:t xml:space="preserve"> to this end</w:t>
            </w:r>
            <w:r>
              <w:t>.</w:t>
            </w:r>
          </w:p>
          <w:p w:rsidR="00CF392C" w:rsidRDefault="001B3AEC" w:rsidP="00AD3399">
            <w:r>
              <w:t xml:space="preserve">The meetings will be held with the participation of all parties involved and the leading </w:t>
            </w:r>
            <w:r w:rsidR="00AD3399">
              <w:t>expert</w:t>
            </w:r>
            <w:r>
              <w:t xml:space="preserve">, who will be responsible for managing all professional activities </w:t>
            </w:r>
            <w:r w:rsidR="00B2483C">
              <w:t>in accordance with</w:t>
            </w:r>
            <w:r>
              <w:t xml:space="preserve"> the instructions of the Authority.</w:t>
            </w:r>
          </w:p>
        </w:tc>
      </w:tr>
      <w:tr w:rsidR="00AD3399" w:rsidTr="00E929E8">
        <w:trPr>
          <w:cantSplit/>
        </w:trPr>
        <w:tc>
          <w:tcPr>
            <w:tcW w:w="0" w:type="auto"/>
          </w:tcPr>
          <w:p w:rsidR="00CF392C" w:rsidRDefault="00CF392C" w:rsidP="001B3AEC">
            <w:pPr>
              <w:pStyle w:val="a8"/>
              <w:numPr>
                <w:ilvl w:val="0"/>
                <w:numId w:val="3"/>
              </w:numPr>
              <w:jc w:val="center"/>
            </w:pPr>
          </w:p>
        </w:tc>
        <w:tc>
          <w:tcPr>
            <w:tcW w:w="0" w:type="auto"/>
          </w:tcPr>
          <w:p w:rsidR="00CF392C" w:rsidRDefault="0009097C" w:rsidP="0009097C">
            <w:r>
              <w:t>It is mentioned in the tender documents that bidders wishing to submit bids are required to purchase the tender documents.</w:t>
            </w:r>
          </w:p>
        </w:tc>
        <w:tc>
          <w:tcPr>
            <w:tcW w:w="0" w:type="auto"/>
          </w:tcPr>
          <w:p w:rsidR="00CF392C" w:rsidRDefault="0009097C" w:rsidP="0009097C">
            <w:r>
              <w:t>There is no need to purchase the tender documents or pay for participation in the tender. This requirement has been removed and if there is any reference to this in the tender documents, it is a clerical error.</w:t>
            </w:r>
          </w:p>
        </w:tc>
      </w:tr>
      <w:tr w:rsidR="00AD3399" w:rsidTr="00E929E8">
        <w:trPr>
          <w:cantSplit/>
        </w:trPr>
        <w:tc>
          <w:tcPr>
            <w:tcW w:w="0" w:type="auto"/>
          </w:tcPr>
          <w:p w:rsidR="00CF392C" w:rsidRDefault="00CF392C" w:rsidP="001B3AEC">
            <w:pPr>
              <w:pStyle w:val="a8"/>
              <w:numPr>
                <w:ilvl w:val="0"/>
                <w:numId w:val="3"/>
              </w:numPr>
              <w:jc w:val="center"/>
            </w:pPr>
          </w:p>
        </w:tc>
        <w:tc>
          <w:tcPr>
            <w:tcW w:w="0" w:type="auto"/>
          </w:tcPr>
          <w:p w:rsidR="00CF392C" w:rsidRDefault="00A035A9" w:rsidP="00A035A9">
            <w:r>
              <w:t>Are additional visits of the lead expert and experts from related fields</w:t>
            </w:r>
            <w:r w:rsidR="008224D7">
              <w:t xml:space="preserve"> to be</w:t>
            </w:r>
            <w:r>
              <w:t xml:space="preserve"> equal in the tender?</w:t>
            </w:r>
          </w:p>
        </w:tc>
        <w:tc>
          <w:tcPr>
            <w:tcW w:w="0" w:type="auto"/>
          </w:tcPr>
          <w:p w:rsidR="00CF392C" w:rsidRDefault="00A035A9" w:rsidP="001B3AEC">
            <w:r>
              <w:t>Yes.</w:t>
            </w:r>
          </w:p>
        </w:tc>
      </w:tr>
      <w:tr w:rsidR="00AD3399" w:rsidTr="00E929E8">
        <w:trPr>
          <w:cantSplit/>
        </w:trPr>
        <w:tc>
          <w:tcPr>
            <w:tcW w:w="0" w:type="auto"/>
          </w:tcPr>
          <w:p w:rsidR="00CF392C" w:rsidRDefault="00CF392C" w:rsidP="001B3AEC">
            <w:pPr>
              <w:pStyle w:val="a8"/>
              <w:numPr>
                <w:ilvl w:val="0"/>
                <w:numId w:val="3"/>
              </w:numPr>
              <w:jc w:val="center"/>
            </w:pPr>
          </w:p>
        </w:tc>
        <w:tc>
          <w:tcPr>
            <w:tcW w:w="0" w:type="auto"/>
          </w:tcPr>
          <w:p w:rsidR="00CF392C" w:rsidRDefault="00C9427D" w:rsidP="00C9427D">
            <w:r>
              <w:t xml:space="preserve">Will a postponement of the deadline for submission of the proposal be possible? </w:t>
            </w:r>
          </w:p>
        </w:tc>
        <w:tc>
          <w:tcPr>
            <w:tcW w:w="0" w:type="auto"/>
          </w:tcPr>
          <w:p w:rsidR="00CF392C" w:rsidRDefault="00C9427D" w:rsidP="001B3AEC">
            <w:r>
              <w:t>No.</w:t>
            </w:r>
          </w:p>
        </w:tc>
      </w:tr>
      <w:tr w:rsidR="00AD3399" w:rsidTr="00E929E8">
        <w:trPr>
          <w:cantSplit/>
        </w:trPr>
        <w:tc>
          <w:tcPr>
            <w:tcW w:w="0" w:type="auto"/>
          </w:tcPr>
          <w:p w:rsidR="00CF392C" w:rsidRDefault="00CF392C" w:rsidP="001B3AEC">
            <w:pPr>
              <w:pStyle w:val="a8"/>
              <w:numPr>
                <w:ilvl w:val="0"/>
                <w:numId w:val="3"/>
              </w:numPr>
              <w:jc w:val="center"/>
            </w:pPr>
          </w:p>
        </w:tc>
        <w:tc>
          <w:tcPr>
            <w:tcW w:w="0" w:type="auto"/>
          </w:tcPr>
          <w:p w:rsidR="00CF392C" w:rsidRDefault="00C9427D" w:rsidP="00C9427D">
            <w:r>
              <w:t xml:space="preserve">Approval of Standards: Who is responsible for this, the winning bidder or Standards Institution of Israel? </w:t>
            </w:r>
          </w:p>
        </w:tc>
        <w:tc>
          <w:tcPr>
            <w:tcW w:w="0" w:type="auto"/>
          </w:tcPr>
          <w:p w:rsidR="00C9427D" w:rsidRDefault="00C9427D" w:rsidP="00C9427D">
            <w:r>
              <w:t>The Standards Institution of Israel is the entity responsible for the management of the regulatory process in Israel.</w:t>
            </w:r>
          </w:p>
          <w:p w:rsidR="00CF392C" w:rsidRDefault="00C9427D" w:rsidP="00C9427D">
            <w:r>
              <w:t>The winning bidder will be required to attend meetings of committees of standardization, to propose standards and to provide professional assistance as regards specific issues - as required.</w:t>
            </w:r>
          </w:p>
        </w:tc>
      </w:tr>
      <w:tr w:rsidR="00AD3399" w:rsidTr="00E929E8">
        <w:trPr>
          <w:cantSplit/>
        </w:trPr>
        <w:tc>
          <w:tcPr>
            <w:tcW w:w="0" w:type="auto"/>
          </w:tcPr>
          <w:p w:rsidR="00CF392C" w:rsidRDefault="00CF392C" w:rsidP="001B3AEC">
            <w:pPr>
              <w:pStyle w:val="a8"/>
              <w:numPr>
                <w:ilvl w:val="0"/>
                <w:numId w:val="3"/>
              </w:numPr>
              <w:jc w:val="center"/>
            </w:pPr>
          </w:p>
        </w:tc>
        <w:tc>
          <w:tcPr>
            <w:tcW w:w="0" w:type="auto"/>
          </w:tcPr>
          <w:p w:rsidR="00CF392C" w:rsidRDefault="0007578E" w:rsidP="0007578E">
            <w:r>
              <w:t>May the Lead Expert also fulfill the role of experts from related fields?</w:t>
            </w:r>
          </w:p>
        </w:tc>
        <w:tc>
          <w:tcPr>
            <w:tcW w:w="0" w:type="auto"/>
          </w:tcPr>
          <w:p w:rsidR="00CF392C" w:rsidRDefault="0007578E" w:rsidP="00EE35E6">
            <w:r>
              <w:t>The Authority has no objection to the lead expert fulfilling additional roles, including th</w:t>
            </w:r>
            <w:r w:rsidR="00EE35E6">
              <w:t>ose</w:t>
            </w:r>
            <w:r>
              <w:t xml:space="preserve"> of experts from related fields. However, this may affect the scoring of proposals.</w:t>
            </w:r>
          </w:p>
        </w:tc>
      </w:tr>
      <w:tr w:rsidR="00AD3399" w:rsidTr="00E929E8">
        <w:trPr>
          <w:cantSplit/>
        </w:trPr>
        <w:tc>
          <w:tcPr>
            <w:tcW w:w="0" w:type="auto"/>
          </w:tcPr>
          <w:p w:rsidR="00CF392C" w:rsidRDefault="00CF392C" w:rsidP="001B3AEC">
            <w:pPr>
              <w:pStyle w:val="a8"/>
              <w:numPr>
                <w:ilvl w:val="0"/>
                <w:numId w:val="3"/>
              </w:numPr>
              <w:jc w:val="center"/>
            </w:pPr>
          </w:p>
        </w:tc>
        <w:tc>
          <w:tcPr>
            <w:tcW w:w="0" w:type="auto"/>
          </w:tcPr>
          <w:p w:rsidR="00CF392C" w:rsidRDefault="00740DE0" w:rsidP="00EE35E6">
            <w:r>
              <w:t>Apostil</w:t>
            </w:r>
            <w:r w:rsidR="0007578E">
              <w:t xml:space="preserve"> Certificate: who </w:t>
            </w:r>
            <w:r w:rsidR="00EE35E6">
              <w:t>is</w:t>
            </w:r>
            <w:r w:rsidR="0007578E">
              <w:t xml:space="preserve"> required to sign? Must the certificate be original or may it be certified as true to the original? </w:t>
            </w:r>
          </w:p>
        </w:tc>
        <w:tc>
          <w:tcPr>
            <w:tcW w:w="0" w:type="auto"/>
          </w:tcPr>
          <w:p w:rsidR="00CF392C" w:rsidRDefault="00740DE0" w:rsidP="0007578E">
            <w:r>
              <w:t>Apostil</w:t>
            </w:r>
            <w:r w:rsidR="0007578E">
              <w:t xml:space="preserve"> certificate</w:t>
            </w:r>
            <w:r w:rsidR="00EE35E6">
              <w:t>s</w:t>
            </w:r>
            <w:r w:rsidR="0007578E">
              <w:t xml:space="preserve"> submitted must be original.</w:t>
            </w:r>
          </w:p>
        </w:tc>
      </w:tr>
      <w:tr w:rsidR="00AD3399" w:rsidTr="00E929E8">
        <w:trPr>
          <w:cantSplit/>
        </w:trPr>
        <w:tc>
          <w:tcPr>
            <w:tcW w:w="0" w:type="auto"/>
          </w:tcPr>
          <w:p w:rsidR="00CF392C" w:rsidRDefault="00CF392C" w:rsidP="001B3AEC">
            <w:pPr>
              <w:pStyle w:val="a8"/>
              <w:numPr>
                <w:ilvl w:val="0"/>
                <w:numId w:val="3"/>
              </w:numPr>
              <w:jc w:val="center"/>
            </w:pPr>
          </w:p>
        </w:tc>
        <w:tc>
          <w:tcPr>
            <w:tcW w:w="0" w:type="auto"/>
          </w:tcPr>
          <w:p w:rsidR="00CF392C" w:rsidRDefault="00AF1987" w:rsidP="00AF1987">
            <w:r>
              <w:t xml:space="preserve">Invoices for consulting services rendered: </w:t>
            </w:r>
            <w:r w:rsidR="00740DE0">
              <w:t>May a</w:t>
            </w:r>
            <w:r>
              <w:t xml:space="preserve"> standard transaction invoice be issued?</w:t>
            </w:r>
          </w:p>
        </w:tc>
        <w:tc>
          <w:tcPr>
            <w:tcW w:w="0" w:type="auto"/>
          </w:tcPr>
          <w:p w:rsidR="00CF392C" w:rsidRDefault="00AF1987" w:rsidP="007710C5">
            <w:r>
              <w:t>Payment for consulting services rendered shall be in accordance with the regulations of the Accountant General, Market and Financial division, Chapter 1.4 http://takam.mof.gov.il/doc/hashkal/horaot.nsf</w:t>
            </w:r>
          </w:p>
        </w:tc>
      </w:tr>
      <w:tr w:rsidR="00AD3399" w:rsidTr="00E929E8">
        <w:trPr>
          <w:cantSplit/>
        </w:trPr>
        <w:tc>
          <w:tcPr>
            <w:tcW w:w="0" w:type="auto"/>
          </w:tcPr>
          <w:p w:rsidR="00CF392C" w:rsidRDefault="00CF392C" w:rsidP="001B3AEC">
            <w:pPr>
              <w:pStyle w:val="a8"/>
              <w:numPr>
                <w:ilvl w:val="0"/>
                <w:numId w:val="3"/>
              </w:numPr>
              <w:jc w:val="center"/>
            </w:pPr>
          </w:p>
        </w:tc>
        <w:tc>
          <w:tcPr>
            <w:tcW w:w="0" w:type="auto"/>
          </w:tcPr>
          <w:p w:rsidR="00CF392C" w:rsidRDefault="007E3AEF" w:rsidP="007E3AEF">
            <w:r>
              <w:t xml:space="preserve">Notice published in the tender in question stated that participation in the tender is subject to the purchase of tender documents. It is not specified in the tender document the cost of said documents. </w:t>
            </w:r>
          </w:p>
        </w:tc>
        <w:tc>
          <w:tcPr>
            <w:tcW w:w="0" w:type="auto"/>
          </w:tcPr>
          <w:p w:rsidR="007E3AEF" w:rsidRDefault="007E3AEF" w:rsidP="007E3AEF">
            <w:r>
              <w:t>See answer to 3 above.</w:t>
            </w:r>
          </w:p>
          <w:p w:rsidR="00CF392C" w:rsidRDefault="00CF392C" w:rsidP="001B3AEC"/>
        </w:tc>
      </w:tr>
      <w:tr w:rsidR="00AD3399" w:rsidTr="00E929E8">
        <w:trPr>
          <w:cantSplit/>
        </w:trPr>
        <w:tc>
          <w:tcPr>
            <w:tcW w:w="0" w:type="auto"/>
          </w:tcPr>
          <w:p w:rsidR="00CF392C" w:rsidRDefault="00CF392C" w:rsidP="001B3AEC">
            <w:pPr>
              <w:pStyle w:val="a8"/>
              <w:numPr>
                <w:ilvl w:val="0"/>
                <w:numId w:val="3"/>
              </w:numPr>
              <w:jc w:val="center"/>
            </w:pPr>
          </w:p>
        </w:tc>
        <w:tc>
          <w:tcPr>
            <w:tcW w:w="0" w:type="auto"/>
          </w:tcPr>
          <w:p w:rsidR="00CF392C" w:rsidRDefault="007E3AEF" w:rsidP="007710C5">
            <w:r>
              <w:t>Regarding Section 3.c- CV: May</w:t>
            </w:r>
            <w:r w:rsidR="007710C5">
              <w:t xml:space="preserve"> CVs </w:t>
            </w:r>
            <w:r>
              <w:t>also be</w:t>
            </w:r>
            <w:r w:rsidR="007710C5">
              <w:t xml:space="preserve"> organized</w:t>
            </w:r>
            <w:r>
              <w:t xml:space="preserve"> according to projects or specializations? </w:t>
            </w:r>
          </w:p>
        </w:tc>
        <w:tc>
          <w:tcPr>
            <w:tcW w:w="0" w:type="auto"/>
          </w:tcPr>
          <w:p w:rsidR="00CF392C" w:rsidRDefault="007E3AEF" w:rsidP="001B3AEC">
            <w:r>
              <w:t>No.</w:t>
            </w:r>
          </w:p>
        </w:tc>
      </w:tr>
      <w:tr w:rsidR="00AD3399" w:rsidTr="00E929E8">
        <w:trPr>
          <w:cantSplit/>
        </w:trPr>
        <w:tc>
          <w:tcPr>
            <w:tcW w:w="0" w:type="auto"/>
          </w:tcPr>
          <w:p w:rsidR="00CF392C" w:rsidRDefault="00CF392C" w:rsidP="001B3AEC">
            <w:pPr>
              <w:pStyle w:val="a8"/>
              <w:numPr>
                <w:ilvl w:val="0"/>
                <w:numId w:val="3"/>
              </w:numPr>
              <w:jc w:val="center"/>
            </w:pPr>
          </w:p>
        </w:tc>
        <w:tc>
          <w:tcPr>
            <w:tcW w:w="0" w:type="auto"/>
          </w:tcPr>
          <w:p w:rsidR="00CF392C" w:rsidRDefault="00F02AC5" w:rsidP="008F3F7F">
            <w:r>
              <w:t xml:space="preserve">Regarding Section A. 1. </w:t>
            </w:r>
            <w:r w:rsidR="008F3F7F">
              <w:t>2</w:t>
            </w:r>
            <w:r>
              <w:t xml:space="preserve">. - Is it sufficient to provide a true to the original copy of the approval of signatory rights? </w:t>
            </w:r>
          </w:p>
        </w:tc>
        <w:tc>
          <w:tcPr>
            <w:tcW w:w="0" w:type="auto"/>
          </w:tcPr>
          <w:p w:rsidR="00CF392C" w:rsidRDefault="00F02AC5" w:rsidP="001B3AEC">
            <w:r>
              <w:t>No.</w:t>
            </w:r>
          </w:p>
        </w:tc>
      </w:tr>
      <w:tr w:rsidR="00AD3399" w:rsidTr="00E929E8">
        <w:trPr>
          <w:cantSplit/>
        </w:trPr>
        <w:tc>
          <w:tcPr>
            <w:tcW w:w="0" w:type="auto"/>
          </w:tcPr>
          <w:p w:rsidR="00CF392C" w:rsidRDefault="00CF392C" w:rsidP="001B3AEC">
            <w:pPr>
              <w:pStyle w:val="a8"/>
              <w:numPr>
                <w:ilvl w:val="0"/>
                <w:numId w:val="3"/>
              </w:numPr>
              <w:jc w:val="center"/>
            </w:pPr>
          </w:p>
        </w:tc>
        <w:tc>
          <w:tcPr>
            <w:tcW w:w="0" w:type="auto"/>
          </w:tcPr>
          <w:p w:rsidR="00CF392C" w:rsidRDefault="00F02AC5" w:rsidP="00F02AC5">
            <w:r>
              <w:t>In projects of this nature, the importance of the bidder quality is greater than the bidder price proposal. We request that the quality score be raised to 65% and the price proposal be reduced the to 30%</w:t>
            </w:r>
          </w:p>
        </w:tc>
        <w:tc>
          <w:tcPr>
            <w:tcW w:w="0" w:type="auto"/>
          </w:tcPr>
          <w:p w:rsidR="00CF392C" w:rsidRDefault="00F02AC5" w:rsidP="00F02AC5">
            <w:r>
              <w:t>The request is denied.</w:t>
            </w:r>
          </w:p>
        </w:tc>
      </w:tr>
      <w:tr w:rsidR="00AD3399" w:rsidTr="00E929E8">
        <w:trPr>
          <w:cantSplit/>
          <w:trHeight w:val="1223"/>
        </w:trPr>
        <w:tc>
          <w:tcPr>
            <w:tcW w:w="0" w:type="auto"/>
          </w:tcPr>
          <w:p w:rsidR="00CF392C" w:rsidRDefault="00CF392C" w:rsidP="001B3AEC">
            <w:pPr>
              <w:pStyle w:val="a8"/>
              <w:numPr>
                <w:ilvl w:val="0"/>
                <w:numId w:val="3"/>
              </w:numPr>
              <w:jc w:val="center"/>
            </w:pPr>
          </w:p>
        </w:tc>
        <w:tc>
          <w:tcPr>
            <w:tcW w:w="0" w:type="auto"/>
          </w:tcPr>
          <w:p w:rsidR="00CF392C" w:rsidRDefault="00E929E8" w:rsidP="00E929E8">
            <w:r>
              <w:t xml:space="preserve">Regarding Section A. 1. May it be considered sufficient that in place of an </w:t>
            </w:r>
            <w:r w:rsidR="00740DE0">
              <w:t>apostil</w:t>
            </w:r>
            <w:r>
              <w:t xml:space="preserve"> certificate the signature of an attorney / notary </w:t>
            </w:r>
            <w:r w:rsidR="00740DE0">
              <w:t>is</w:t>
            </w:r>
            <w:r>
              <w:t xml:space="preserve"> provided?</w:t>
            </w:r>
            <w:bookmarkStart w:id="0" w:name="_GoBack"/>
            <w:bookmarkEnd w:id="0"/>
          </w:p>
        </w:tc>
        <w:tc>
          <w:tcPr>
            <w:tcW w:w="0" w:type="auto"/>
          </w:tcPr>
          <w:p w:rsidR="00CF392C" w:rsidRDefault="00E929E8" w:rsidP="001B3AEC">
            <w:r>
              <w:t>No.</w:t>
            </w:r>
          </w:p>
        </w:tc>
      </w:tr>
    </w:tbl>
    <w:p w:rsidR="00FA6619" w:rsidRPr="000C7E76" w:rsidRDefault="00FA6619" w:rsidP="000C7E76"/>
    <w:sectPr w:rsidR="00FA6619" w:rsidRPr="000C7E76" w:rsidSect="00A82DFD">
      <w:headerReference w:type="default" r:id="rId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250B" w:rsidRDefault="00A8250B" w:rsidP="00CF392C">
      <w:pPr>
        <w:spacing w:after="0" w:line="240" w:lineRule="auto"/>
      </w:pPr>
      <w:r>
        <w:separator/>
      </w:r>
    </w:p>
  </w:endnote>
  <w:endnote w:type="continuationSeparator" w:id="0">
    <w:p w:rsidR="00A8250B" w:rsidRDefault="00A8250B" w:rsidP="00CF392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250B" w:rsidRDefault="00A8250B" w:rsidP="00CF392C">
      <w:pPr>
        <w:spacing w:after="0" w:line="240" w:lineRule="auto"/>
      </w:pPr>
      <w:r>
        <w:separator/>
      </w:r>
    </w:p>
  </w:footnote>
  <w:footnote w:type="continuationSeparator" w:id="0">
    <w:p w:rsidR="00A8250B" w:rsidRDefault="00A8250B" w:rsidP="00CF392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392C" w:rsidRPr="00CF392C" w:rsidRDefault="009913E7" w:rsidP="00CF392C">
    <w:pPr>
      <w:pStyle w:val="a3"/>
      <w:tabs>
        <w:tab w:val="clear" w:pos="4680"/>
        <w:tab w:val="clear" w:pos="9360"/>
        <w:tab w:val="center" w:pos="4153"/>
        <w:tab w:val="right" w:pos="8306"/>
      </w:tabs>
      <w:bidi/>
      <w:spacing w:line="276" w:lineRule="auto"/>
      <w:jc w:val="center"/>
      <w:rPr>
        <w:rFonts w:ascii="Times New Roman" w:eastAsia="Times New Roman" w:hAnsi="Times New Roman" w:cs="David"/>
        <w:b/>
        <w:bCs/>
        <w:sz w:val="24"/>
        <w:szCs w:val="40"/>
        <w:rtl/>
      </w:rPr>
    </w:pPr>
    <w:r>
      <w:rPr>
        <w:rFonts w:ascii="Times New Roman" w:eastAsia="Times New Roman" w:hAnsi="Times New Roman" w:cs="David"/>
        <w:b/>
        <w:bCs/>
        <w:sz w:val="24"/>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9264;visibility:visible;mso-wrap-edited:f">
          <v:imagedata r:id="rId1" o:title=""/>
          <w10:wrap type="topAndBottom"/>
        </v:shape>
        <o:OLEObject Type="Embed" ProgID="Word.Picture.8" ShapeID="_x0000_s2049" DrawAspect="Content" ObjectID="_1414998489" r:id="rId2"/>
      </w:pict>
    </w:r>
  </w:p>
  <w:p w:rsidR="00CF392C" w:rsidRPr="00CF392C" w:rsidRDefault="00CF392C" w:rsidP="00CF392C">
    <w:pPr>
      <w:pStyle w:val="a3"/>
      <w:tabs>
        <w:tab w:val="clear" w:pos="4680"/>
        <w:tab w:val="clear" w:pos="9360"/>
        <w:tab w:val="center" w:pos="4153"/>
        <w:tab w:val="right" w:pos="8306"/>
      </w:tabs>
      <w:bidi/>
      <w:spacing w:line="276" w:lineRule="auto"/>
      <w:jc w:val="center"/>
      <w:rPr>
        <w:rFonts w:ascii="Times New Roman" w:eastAsia="Times New Roman" w:hAnsi="Times New Roman" w:cs="David"/>
        <w:b/>
        <w:bCs/>
        <w:sz w:val="24"/>
        <w:szCs w:val="40"/>
        <w:rtl/>
      </w:rPr>
    </w:pPr>
    <w:r w:rsidRPr="00CF392C">
      <w:rPr>
        <w:rFonts w:ascii="Times New Roman" w:eastAsia="Times New Roman" w:hAnsi="Times New Roman" w:cs="David"/>
        <w:b/>
        <w:bCs/>
        <w:sz w:val="24"/>
        <w:szCs w:val="40"/>
        <w:lang w:bidi="he-IL"/>
      </w:rPr>
      <w:t>State of Israel</w:t>
    </w:r>
  </w:p>
  <w:p w:rsidR="00CF392C" w:rsidRPr="00CF392C" w:rsidRDefault="00CF392C" w:rsidP="00CF392C">
    <w:pPr>
      <w:pStyle w:val="a3"/>
      <w:tabs>
        <w:tab w:val="clear" w:pos="4680"/>
        <w:tab w:val="clear" w:pos="9360"/>
        <w:tab w:val="center" w:pos="4153"/>
        <w:tab w:val="right" w:pos="8306"/>
      </w:tabs>
      <w:bidi/>
      <w:spacing w:line="276" w:lineRule="auto"/>
      <w:jc w:val="center"/>
      <w:rPr>
        <w:rFonts w:ascii="Times New Roman" w:eastAsia="Times New Roman" w:hAnsi="Times New Roman" w:cs="David"/>
        <w:b/>
        <w:bCs/>
        <w:sz w:val="24"/>
        <w:szCs w:val="40"/>
        <w:lang w:bidi="he-IL"/>
      </w:rPr>
    </w:pPr>
    <w:r w:rsidRPr="00CF392C">
      <w:rPr>
        <w:rFonts w:ascii="Times New Roman" w:eastAsia="Times New Roman" w:hAnsi="Times New Roman" w:cs="David"/>
        <w:b/>
        <w:bCs/>
        <w:sz w:val="24"/>
        <w:szCs w:val="40"/>
        <w:lang w:bidi="he-IL"/>
      </w:rPr>
      <w:t>Ministry of Energy and Water</w:t>
    </w:r>
  </w:p>
  <w:p w:rsidR="00CF392C" w:rsidRPr="00CF392C" w:rsidRDefault="00CF392C" w:rsidP="00CF392C">
    <w:pPr>
      <w:pStyle w:val="a3"/>
      <w:tabs>
        <w:tab w:val="clear" w:pos="4680"/>
        <w:tab w:val="clear" w:pos="9360"/>
        <w:tab w:val="center" w:pos="4153"/>
        <w:tab w:val="right" w:pos="8306"/>
      </w:tabs>
      <w:bidi/>
      <w:spacing w:line="276" w:lineRule="auto"/>
      <w:jc w:val="center"/>
      <w:rPr>
        <w:rFonts w:ascii="Times New Roman" w:eastAsia="Times New Roman" w:hAnsi="Times New Roman" w:cs="David"/>
        <w:b/>
        <w:bCs/>
        <w:sz w:val="24"/>
        <w:szCs w:val="40"/>
        <w:rtl/>
      </w:rPr>
    </w:pPr>
    <w:r w:rsidRPr="00CF392C">
      <w:rPr>
        <w:rFonts w:ascii="Times New Roman" w:eastAsia="Times New Roman" w:hAnsi="Times New Roman" w:cs="David"/>
        <w:b/>
        <w:bCs/>
        <w:sz w:val="24"/>
        <w:szCs w:val="40"/>
        <w:lang w:bidi="he-IL"/>
      </w:rPr>
      <w:t>Natural Gas Authority</w:t>
    </w:r>
  </w:p>
  <w:p w:rsidR="00CF392C" w:rsidRDefault="00CF392C">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90BA0"/>
    <w:multiLevelType w:val="hybridMultilevel"/>
    <w:tmpl w:val="5BD6B0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182F6A"/>
    <w:multiLevelType w:val="hybridMultilevel"/>
    <w:tmpl w:val="4B36B1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47172D5"/>
    <w:multiLevelType w:val="hybridMultilevel"/>
    <w:tmpl w:val="306E608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48B623BB"/>
    <w:multiLevelType w:val="hybridMultilevel"/>
    <w:tmpl w:val="D0C007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DBA3839"/>
    <w:multiLevelType w:val="hybridMultilevel"/>
    <w:tmpl w:val="B05C2BC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3"/>
  </w:num>
  <w:num w:numId="3">
    <w:abstractNumId w:val="2"/>
  </w:num>
  <w:num w:numId="4">
    <w:abstractNumId w:val="1"/>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6146"/>
    <o:shapelayout v:ext="edit">
      <o:idmap v:ext="edit" data="2"/>
    </o:shapelayout>
  </w:hdrShapeDefaults>
  <w:footnotePr>
    <w:footnote w:id="-1"/>
    <w:footnote w:id="0"/>
  </w:footnotePr>
  <w:endnotePr>
    <w:endnote w:id="-1"/>
    <w:endnote w:id="0"/>
  </w:endnotePr>
  <w:compat/>
  <w:rsids>
    <w:rsidRoot w:val="00226798"/>
    <w:rsid w:val="000563CE"/>
    <w:rsid w:val="0007578E"/>
    <w:rsid w:val="0009097C"/>
    <w:rsid w:val="000C7E76"/>
    <w:rsid w:val="001B3AEC"/>
    <w:rsid w:val="00226798"/>
    <w:rsid w:val="00247AEC"/>
    <w:rsid w:val="00365C46"/>
    <w:rsid w:val="006B04A1"/>
    <w:rsid w:val="00714408"/>
    <w:rsid w:val="00740DE0"/>
    <w:rsid w:val="007710C5"/>
    <w:rsid w:val="00794A84"/>
    <w:rsid w:val="007E3AEF"/>
    <w:rsid w:val="00816E23"/>
    <w:rsid w:val="008224D7"/>
    <w:rsid w:val="008F3F7F"/>
    <w:rsid w:val="00910331"/>
    <w:rsid w:val="009913E7"/>
    <w:rsid w:val="00A035A9"/>
    <w:rsid w:val="00A8250B"/>
    <w:rsid w:val="00A82DFD"/>
    <w:rsid w:val="00AD3399"/>
    <w:rsid w:val="00AF1987"/>
    <w:rsid w:val="00B2483C"/>
    <w:rsid w:val="00B94507"/>
    <w:rsid w:val="00BA5A2D"/>
    <w:rsid w:val="00BF6C36"/>
    <w:rsid w:val="00C9427D"/>
    <w:rsid w:val="00CF392C"/>
    <w:rsid w:val="00E929E8"/>
    <w:rsid w:val="00EE35E6"/>
    <w:rsid w:val="00F02AC5"/>
    <w:rsid w:val="00FA661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2DF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F392C"/>
    <w:pPr>
      <w:tabs>
        <w:tab w:val="center" w:pos="4680"/>
        <w:tab w:val="right" w:pos="9360"/>
      </w:tabs>
      <w:spacing w:after="0" w:line="240" w:lineRule="auto"/>
    </w:pPr>
  </w:style>
  <w:style w:type="character" w:customStyle="1" w:styleId="a4">
    <w:name w:val="כותרת עליונה תו"/>
    <w:basedOn w:val="a0"/>
    <w:link w:val="a3"/>
    <w:uiPriority w:val="99"/>
    <w:rsid w:val="00CF392C"/>
  </w:style>
  <w:style w:type="paragraph" w:styleId="a5">
    <w:name w:val="footer"/>
    <w:basedOn w:val="a"/>
    <w:link w:val="a6"/>
    <w:uiPriority w:val="99"/>
    <w:unhideWhenUsed/>
    <w:rsid w:val="00CF392C"/>
    <w:pPr>
      <w:tabs>
        <w:tab w:val="center" w:pos="4680"/>
        <w:tab w:val="right" w:pos="9360"/>
      </w:tabs>
      <w:spacing w:after="0" w:line="240" w:lineRule="auto"/>
    </w:pPr>
  </w:style>
  <w:style w:type="character" w:customStyle="1" w:styleId="a6">
    <w:name w:val="כותרת תחתונה תו"/>
    <w:basedOn w:val="a0"/>
    <w:link w:val="a5"/>
    <w:uiPriority w:val="99"/>
    <w:rsid w:val="00CF392C"/>
  </w:style>
  <w:style w:type="table" w:styleId="a7">
    <w:name w:val="Table Grid"/>
    <w:basedOn w:val="a1"/>
    <w:uiPriority w:val="59"/>
    <w:rsid w:val="00CF39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247AE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F392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F392C"/>
  </w:style>
  <w:style w:type="paragraph" w:styleId="Footer">
    <w:name w:val="footer"/>
    <w:basedOn w:val="Normal"/>
    <w:link w:val="FooterChar"/>
    <w:uiPriority w:val="99"/>
    <w:unhideWhenUsed/>
    <w:rsid w:val="00CF392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392C"/>
  </w:style>
  <w:style w:type="table" w:styleId="TableGrid">
    <w:name w:val="Table Grid"/>
    <w:basedOn w:val="TableNormal"/>
    <w:uiPriority w:val="59"/>
    <w:rsid w:val="00CF39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247AEC"/>
    <w:pPr>
      <w:ind w:left="720"/>
      <w:contextualSpacing/>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670</Words>
  <Characters>3825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Motti Sigel</dc:creator>
  <cp:lastModifiedBy>ilana</cp:lastModifiedBy>
  <cp:revision>2</cp:revision>
  <cp:lastPrinted>2012-11-21T08:22:00Z</cp:lastPrinted>
  <dcterms:created xsi:type="dcterms:W3CDTF">2012-11-21T08:22:00Z</dcterms:created>
  <dcterms:modified xsi:type="dcterms:W3CDTF">2012-11-21T08:22:00Z</dcterms:modified>
</cp:coreProperties>
</file>